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D3E9" w14:textId="77777777" w:rsidR="00983109" w:rsidRDefault="00983109" w:rsidP="009831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1D0D91A0" w14:textId="77777777" w:rsidR="00983109" w:rsidRDefault="00983109" w:rsidP="0098310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Перевод земли из категории земель сельскохозяйственного</w:t>
      </w:r>
    </w:p>
    <w:p w14:paraId="2C9863E5" w14:textId="77777777" w:rsidR="00983109" w:rsidRDefault="00983109" w:rsidP="0098310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назначения в иную категорию</w:t>
      </w:r>
    </w:p>
    <w:p w14:paraId="6D3D0794" w14:textId="77777777" w:rsidR="00983109" w:rsidRDefault="00983109" w:rsidP="009831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58AC3B" w14:textId="77777777" w:rsidR="00983109" w:rsidRDefault="00983109" w:rsidP="0098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силу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ст. 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21.12.2004 N 172-ФЗ "О переводе земель или земельных участков из одной категории в другую" (далее - Закон о переводе земель) правовое регулирование отношений, возникающих в связи с переводом земель или земельных участков в составе таких земель из одной категории в другую, осуществляется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ЗК</w:t>
        </w:r>
      </w:hyperlink>
      <w:r>
        <w:rPr>
          <w:rFonts w:ascii="Arial" w:hAnsi="Arial" w:cs="Arial"/>
          <w:sz w:val="20"/>
          <w:szCs w:val="20"/>
        </w:rPr>
        <w:t xml:space="preserve"> РФ,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 переводе земель, иными федеральными законами и принимаемыми в соответствии с ними иными нормативными правовыми актами РФ, законами и иными нормативными правовыми актами субъектов РФ.</w:t>
      </w:r>
    </w:p>
    <w:p w14:paraId="39D429D4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Статьей 8</w:t>
        </w:r>
      </w:hyperlink>
      <w:r>
        <w:rPr>
          <w:rFonts w:ascii="Arial" w:hAnsi="Arial" w:cs="Arial"/>
          <w:sz w:val="20"/>
          <w:szCs w:val="20"/>
        </w:rPr>
        <w:t xml:space="preserve"> ЗК РФ определено, что перевод земель из одной категории в другую осуществляется в отношении:</w:t>
      </w:r>
    </w:p>
    <w:p w14:paraId="1B556E0E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земель, находящихся в федеральной собственности, - Правительством РФ;</w:t>
      </w:r>
    </w:p>
    <w:p w14:paraId="376BBFDD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земель, находящихся в собственности субъектов РФ, и земель сельскохозяйственного назначения, находящихся в муниципальной собственности, - исполнительными органами субъектов РФ;</w:t>
      </w:r>
    </w:p>
    <w:p w14:paraId="3BAC64A4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земель, находящихся в муниципальной собственности, за исключением земель сельскохозяйственного назначения, - органами местного самоуправления;</w:t>
      </w:r>
    </w:p>
    <w:p w14:paraId="5F9DBBDF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земель, находящихся в частной собственности:</w:t>
      </w:r>
    </w:p>
    <w:p w14:paraId="413D411D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земель сельскохозяйственного назначения - исполнительными органами субъектов РФ;</w:t>
      </w:r>
    </w:p>
    <w:p w14:paraId="65F7CCF9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земель иного целевого назначения - органами местного самоуправления.</w:t>
      </w:r>
    </w:p>
    <w:p w14:paraId="6E7F6BAF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Состав и порядок подготовки документов для перевода земель или земельных участков в составе таких земель из одной категории в другую определены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 переводе земель.</w:t>
      </w:r>
    </w:p>
    <w:p w14:paraId="295302C0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Вместе с тем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ст. 7</w:t>
        </w:r>
      </w:hyperlink>
      <w:r>
        <w:rPr>
          <w:rFonts w:ascii="Arial" w:hAnsi="Arial" w:cs="Arial"/>
          <w:sz w:val="20"/>
          <w:szCs w:val="20"/>
        </w:rPr>
        <w:t xml:space="preserve"> Закона о переводе земель установлены особенности перевода земель сельскохозяйственных угодий или земельных участков в составе таких земель из земель сельскохозяйственного назначения в земли иных категорий. Перевод таких земель допускается в исключительных случаях, связанных:</w:t>
      </w:r>
    </w:p>
    <w:p w14:paraId="709D420F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с консервацией земель;</w:t>
      </w:r>
    </w:p>
    <w:p w14:paraId="5BFC3022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с созданием особо охраняемых природных территорий или с отнесением земель к землям природоохранного, историко-культурного, рекреационного и иного особо ценного назначения;</w:t>
      </w:r>
    </w:p>
    <w:p w14:paraId="74CF7DC3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с установлением или изменением черты населенных пунктов;</w:t>
      </w:r>
    </w:p>
    <w:p w14:paraId="571893E1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с размещением промышленных объектов на землях, кадастровая стоимость которых не превышает средний уровень кадастровой стоимости по муниципальному району (муниципальному округу, городскому округу), а также на других землях и с иными несельскохозяйственными нуждами при отсутствии иных вариантов размещения этих объектов, за исключением размещения на землях, указанных в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ч. 2 ст. 7</w:t>
        </w:r>
      </w:hyperlink>
      <w:r>
        <w:rPr>
          <w:rFonts w:ascii="Arial" w:hAnsi="Arial" w:cs="Arial"/>
          <w:sz w:val="20"/>
          <w:szCs w:val="20"/>
        </w:rPr>
        <w:t xml:space="preserve"> Закона о переводе земель;</w:t>
      </w:r>
    </w:p>
    <w:p w14:paraId="64EE0A42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с включением непригодных для осуществления сельскохозяйственного производства земель в состав земель лесного фонда, земель водного фонда или земель запаса;</w:t>
      </w:r>
    </w:p>
    <w:p w14:paraId="1B0C78EB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со строительством дорог, линий электропередачи, линий связи (в том числе линейно-кабельных сооружений), нефтепроводов, газопроводов и иных трубопроводов, железнодорожных линий и других подобных сооружений (далее - линейные объекты) при наличии утвержденного в установленном порядке проекта рекультивации части сельскохозяйственных угодий, предоставляемой на период осуществления строительства линейных объектов;</w:t>
      </w:r>
    </w:p>
    <w:p w14:paraId="48879B46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с выполнением международных обязательств РФ, обеспечением обороны страны и безопасности государства при отсутствии иных вариантов размещения соответствующих объектов;</w:t>
      </w:r>
    </w:p>
    <w:p w14:paraId="155CA659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с добычей полезных ископаемых при наличии утвержденного проекта рекультивации земель;</w:t>
      </w:r>
    </w:p>
    <w:p w14:paraId="1E66569C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9) с размещением объектов социального, коммунально-бытового назначения, объектов здравоохранения, образования при отсутствии иных вариантов размещения этих объектов.</w:t>
      </w:r>
    </w:p>
    <w:p w14:paraId="571573F0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Следует учитывать, что перевод земель сельскохозяйственных угодий или земельных участков в составе таких земель из земель сельскохозяйственного назначения, кадастровая стоимость которых на 50% и более превышает средний уровень кадастровой стоимости по муниципальному району (муниципальному округу, городскому округу), и особо ценных продуктивных сельскохозяйственных угодий, указанных в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п. 4 ст. 79</w:t>
        </w:r>
      </w:hyperlink>
      <w:r>
        <w:rPr>
          <w:rFonts w:ascii="Arial" w:hAnsi="Arial" w:cs="Arial"/>
          <w:sz w:val="20"/>
          <w:szCs w:val="20"/>
        </w:rPr>
        <w:t xml:space="preserve"> ЗК РФ, в другую категорию не допускается, за исключением случаев, установленных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п. п. 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7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8 ч. 1 ст. 7</w:t>
        </w:r>
      </w:hyperlink>
      <w:r>
        <w:rPr>
          <w:rFonts w:ascii="Arial" w:hAnsi="Arial" w:cs="Arial"/>
          <w:sz w:val="20"/>
          <w:szCs w:val="20"/>
        </w:rPr>
        <w:t xml:space="preserve"> Закона о переводе земель.</w:t>
      </w:r>
    </w:p>
    <w:p w14:paraId="6D0DB326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Правовой статус </w:t>
      </w:r>
      <w:r>
        <w:rPr>
          <w:rFonts w:ascii="Arial" w:hAnsi="Arial" w:cs="Arial"/>
          <w:b/>
          <w:bCs/>
          <w:sz w:val="20"/>
          <w:szCs w:val="20"/>
        </w:rPr>
        <w:t>особо ценных продуктивных сельскохозяйственных угодий</w:t>
      </w:r>
      <w:r>
        <w:rPr>
          <w:rFonts w:ascii="Arial" w:hAnsi="Arial" w:cs="Arial"/>
          <w:sz w:val="20"/>
          <w:szCs w:val="20"/>
        </w:rPr>
        <w:t xml:space="preserve"> установлен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п. 4 ст. 79</w:t>
        </w:r>
      </w:hyperlink>
      <w:r>
        <w:rPr>
          <w:rFonts w:ascii="Arial" w:hAnsi="Arial" w:cs="Arial"/>
          <w:sz w:val="20"/>
          <w:szCs w:val="20"/>
        </w:rPr>
        <w:t xml:space="preserve"> ЗК РФ, а их состав раскрывается в региональном законодательстве.</w:t>
      </w:r>
    </w:p>
    <w:p w14:paraId="419EA766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Так, согласно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п. 4</w:t>
        </w:r>
      </w:hyperlink>
      <w:r>
        <w:rPr>
          <w:rFonts w:ascii="Arial" w:hAnsi="Arial" w:cs="Arial"/>
          <w:sz w:val="20"/>
          <w:szCs w:val="20"/>
        </w:rPr>
        <w:t xml:space="preserve"> Порядка формирования и ведения перечня особо ценных продуктивных сельскохозяйственных угодий, расположенных на территории Московской области, использование которых для других целей не допускается, утв. Постановлением Правительства МО от 17.10.2017 N 872/38, к особо ценным продуктивным сельскохозяйственным угодьям относятся:</w:t>
      </w:r>
    </w:p>
    <w:p w14:paraId="7E88D1C9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сельскохозяйственные угодья, кадастровая стоимость которых превышает средний уровень кадастровой стоимости по городскому округу более чем на 50%;</w:t>
      </w:r>
    </w:p>
    <w:p w14:paraId="61E51523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сельскохозяйственные угодья опытно-производственных подразделений научных организаций и учебно-опытных подразделений профессиональных образовательных организаций и образовательных организаций высшего образования, государственных сортоиспытательных станций и государственных сортоиспытательных участков.</w:t>
      </w:r>
    </w:p>
    <w:p w14:paraId="2C68C924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Статьей 2</w:t>
        </w:r>
      </w:hyperlink>
      <w:r>
        <w:rPr>
          <w:rFonts w:ascii="Arial" w:hAnsi="Arial" w:cs="Arial"/>
          <w:sz w:val="20"/>
          <w:szCs w:val="20"/>
        </w:rPr>
        <w:t xml:space="preserve"> Закона о переводе земель установлено, что для перевода земель или земельных участков в составе таких земель из одной категории в другую заинтересованным лицом подается соответствующее ходатайство в исполнительный орган государственной власти или орган местного самоуправления, уполномоченные на рассмотрение этого ходатайства. Содержание такого ходатайства устанавливается соответствующим органом государственной власти или органом местного самоуправления.</w:t>
      </w:r>
    </w:p>
    <w:p w14:paraId="4AF9335C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ходатайстве необходимо указать:</w:t>
      </w:r>
    </w:p>
    <w:p w14:paraId="55341C9F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кадастровый номер земельного участка;</w:t>
      </w:r>
    </w:p>
    <w:p w14:paraId="4B3AF58C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категорию земель, в состав которых входит земельный участок, и категорию земель, перевод в состав которых предполагается осуществить;</w:t>
      </w:r>
    </w:p>
    <w:p w14:paraId="2FEAEA61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обоснование перевода земельного участка из состава земель одной категории в другую;</w:t>
      </w:r>
    </w:p>
    <w:p w14:paraId="622E6201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права на земельный участок.</w:t>
      </w:r>
    </w:p>
    <w:p w14:paraId="2872A73E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документов, необходимых для принятия решения о переводе земельных участков из состава земель одной категории в другую, установлен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ч. 4 ст. 2</w:t>
        </w:r>
      </w:hyperlink>
      <w:r>
        <w:rPr>
          <w:rFonts w:ascii="Arial" w:hAnsi="Arial" w:cs="Arial"/>
          <w:sz w:val="20"/>
          <w:szCs w:val="20"/>
        </w:rPr>
        <w:t xml:space="preserve"> Закона о переводе земель.</w:t>
      </w:r>
    </w:p>
    <w:p w14:paraId="5186B80F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результатам рассмотрения ходатайства исполнительным органом государственной власти или органом местного самоуправления принимается акт о переводе земель или земельных участков в составе таких земель из одной категории в другую либо акт об отказе в переводе земель или земельных участков в составе таких земель из одной категории в другую в следующие сроки:</w:t>
      </w:r>
    </w:p>
    <w:p w14:paraId="384FFCAE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в течение 3 месяцев со дня поступления ходатайства, если иное не установлено нормативными правовыми актами РФ, - Правительством РФ;</w:t>
      </w:r>
    </w:p>
    <w:p w14:paraId="6F9D61E5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 течение 2 месяцев со дня поступления ходатайства - исполнительным органом государственной власти субъекта РФ или органом местного самоуправления (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ч. 4 ст. 3</w:t>
        </w:r>
      </w:hyperlink>
      <w:r>
        <w:rPr>
          <w:rFonts w:ascii="Arial" w:hAnsi="Arial" w:cs="Arial"/>
          <w:sz w:val="20"/>
          <w:szCs w:val="20"/>
        </w:rPr>
        <w:t xml:space="preserve"> Закона о переводе земель).</w:t>
      </w:r>
    </w:p>
    <w:p w14:paraId="03C1815C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о переводе земель или земельных участков либо акт об отказе в переводе земель или земельных участков направляется заинтересованному лицу в течение 14 дней со дня принятия и может быть обжалован в суд (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ч. 7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8 ст. 3</w:t>
        </w:r>
      </w:hyperlink>
      <w:r>
        <w:rPr>
          <w:rFonts w:ascii="Arial" w:hAnsi="Arial" w:cs="Arial"/>
          <w:sz w:val="20"/>
          <w:szCs w:val="20"/>
        </w:rPr>
        <w:t xml:space="preserve"> Закона о переводе земель).</w:t>
      </w:r>
    </w:p>
    <w:p w14:paraId="318C60F1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отношении </w:t>
      </w:r>
      <w:r>
        <w:rPr>
          <w:rFonts w:ascii="Arial" w:hAnsi="Arial" w:cs="Arial"/>
          <w:b/>
          <w:bCs/>
          <w:sz w:val="20"/>
          <w:szCs w:val="20"/>
        </w:rPr>
        <w:t>перевода земель сельскохозяйственного назначения в земли промышленности</w:t>
      </w:r>
      <w:r>
        <w:rPr>
          <w:rFonts w:ascii="Arial" w:hAnsi="Arial" w:cs="Arial"/>
          <w:sz w:val="20"/>
          <w:szCs w:val="20"/>
        </w:rPr>
        <w:t xml:space="preserve">, которыми согласно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п. 1 ст. 88</w:t>
        </w:r>
      </w:hyperlink>
      <w:r>
        <w:rPr>
          <w:rFonts w:ascii="Arial" w:hAnsi="Arial" w:cs="Arial"/>
          <w:sz w:val="20"/>
          <w:szCs w:val="20"/>
        </w:rPr>
        <w:t xml:space="preserve"> ЗК РФ являются земли, которые используются или предназначены для обеспечения деятельности организаций и (или) эксплуатации объектов промышленности и права на которые возникли у участников земельных отношений по основаниям, предусмотренным ЗК РФ, федеральными законами и законами субъектов РФ,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п. 4 ч. 1 ст. 7</w:t>
        </w:r>
      </w:hyperlink>
      <w:r>
        <w:rPr>
          <w:rFonts w:ascii="Arial" w:hAnsi="Arial" w:cs="Arial"/>
          <w:sz w:val="20"/>
          <w:szCs w:val="20"/>
        </w:rPr>
        <w:t xml:space="preserve"> Закона о переводе земель связывает наличие таких условий, как </w:t>
      </w:r>
      <w:proofErr w:type="spellStart"/>
      <w:r>
        <w:rPr>
          <w:rFonts w:ascii="Arial" w:hAnsi="Arial" w:cs="Arial"/>
          <w:sz w:val="20"/>
          <w:szCs w:val="20"/>
        </w:rPr>
        <w:t>непревышение</w:t>
      </w:r>
      <w:proofErr w:type="spellEnd"/>
      <w:r>
        <w:rPr>
          <w:rFonts w:ascii="Arial" w:hAnsi="Arial" w:cs="Arial"/>
          <w:sz w:val="20"/>
          <w:szCs w:val="20"/>
        </w:rPr>
        <w:t xml:space="preserve"> среднего уровня кадастровой стоимости по муниципальному району (муниципальному округу, городскому округу) и отсутствие иных вариантов размещения промышленных объектов. Таким образом, даже превышение </w:t>
      </w:r>
      <w:proofErr w:type="spellStart"/>
      <w:r>
        <w:rPr>
          <w:rFonts w:ascii="Arial" w:hAnsi="Arial" w:cs="Arial"/>
          <w:sz w:val="20"/>
          <w:szCs w:val="20"/>
        </w:rPr>
        <w:t>среднерайонной</w:t>
      </w:r>
      <w:proofErr w:type="spellEnd"/>
      <w:r>
        <w:rPr>
          <w:rFonts w:ascii="Arial" w:hAnsi="Arial" w:cs="Arial"/>
          <w:sz w:val="20"/>
          <w:szCs w:val="20"/>
        </w:rPr>
        <w:t xml:space="preserve"> кадастровой стоимости земельного участка будет являться препятствием для его перевода в земли промышленности (например,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п. 3.2</w:t>
        </w:r>
      </w:hyperlink>
      <w:r>
        <w:rPr>
          <w:rFonts w:ascii="Arial" w:hAnsi="Arial" w:cs="Arial"/>
          <w:sz w:val="20"/>
          <w:szCs w:val="20"/>
        </w:rPr>
        <w:t xml:space="preserve"> Положения о переводе земель или земельных участков из одной категории в другую на территории Орехово-Зуевского муниципального района Московской области, утв. Решением Совета депутатов Орехово-Зуевского муниципального района МО от 28.06.2007 N 60/6).</w:t>
      </w:r>
    </w:p>
    <w:p w14:paraId="716FD211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Апелляционном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определении</w:t>
        </w:r>
      </w:hyperlink>
      <w:r>
        <w:rPr>
          <w:rFonts w:ascii="Arial" w:hAnsi="Arial" w:cs="Arial"/>
          <w:sz w:val="20"/>
          <w:szCs w:val="20"/>
        </w:rPr>
        <w:t xml:space="preserve"> Судебной коллегии по административным делам Верховного Суда РФ от 06.02.2020 N 4-АПА19-41 указано на отсутствие требований о необходимости проведения государственной экологической экспертизы при принятии решения о переводе земель сельскохозяйственного назначения в земли промышленности и иного специального назначения.</w:t>
      </w:r>
    </w:p>
    <w:p w14:paraId="69DAD22E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качестве примера соответствующего акта можно привести Постановления Правительства МО от 16.10.2007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N 782/36</w:t>
        </w:r>
      </w:hyperlink>
      <w:r>
        <w:rPr>
          <w:rFonts w:ascii="Arial" w:hAnsi="Arial" w:cs="Arial"/>
          <w:sz w:val="20"/>
          <w:szCs w:val="20"/>
        </w:rPr>
        <w:t xml:space="preserve"> "О переводе земельного участка, расположенного вблизи д. Марьино Красногорского района, из одной категории в другую"; от 21.02.2006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N 107/6</w:t>
        </w:r>
      </w:hyperlink>
      <w:r>
        <w:rPr>
          <w:rFonts w:ascii="Arial" w:hAnsi="Arial" w:cs="Arial"/>
          <w:sz w:val="20"/>
          <w:szCs w:val="20"/>
        </w:rPr>
        <w:t xml:space="preserve"> "О предоставлении земельных участков, расположенных в Ногинском районе".</w:t>
      </w:r>
    </w:p>
    <w:p w14:paraId="0ABE203B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Перевод земель сельскохозяйственных угодий или земельных участков в составе таких земель из земель сельскохозяйственного назначения</w:t>
      </w:r>
      <w:r>
        <w:rPr>
          <w:rFonts w:ascii="Arial" w:hAnsi="Arial" w:cs="Arial"/>
          <w:sz w:val="20"/>
          <w:szCs w:val="20"/>
        </w:rPr>
        <w:t xml:space="preserve"> в другую категорию (например, </w:t>
      </w:r>
      <w:r>
        <w:rPr>
          <w:rFonts w:ascii="Arial" w:hAnsi="Arial" w:cs="Arial"/>
          <w:b/>
          <w:bCs/>
          <w:sz w:val="20"/>
          <w:szCs w:val="20"/>
        </w:rPr>
        <w:t>в земли населенных пунктов</w:t>
      </w:r>
      <w:r>
        <w:rPr>
          <w:rFonts w:ascii="Arial" w:hAnsi="Arial" w:cs="Arial"/>
          <w:sz w:val="20"/>
          <w:szCs w:val="20"/>
        </w:rPr>
        <w:t xml:space="preserve">) допускается в исключительных случаях, одним из которых согласно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п. 3 ч. 1 ст. 7</w:t>
        </w:r>
      </w:hyperlink>
      <w:r>
        <w:rPr>
          <w:rFonts w:ascii="Arial" w:hAnsi="Arial" w:cs="Arial"/>
          <w:sz w:val="20"/>
          <w:szCs w:val="20"/>
        </w:rPr>
        <w:t xml:space="preserve"> Закона о переводе земель является установление или изменение черты населенных пунктов, порядок осуществления которых установлен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ст. 84</w:t>
        </w:r>
      </w:hyperlink>
      <w:r>
        <w:rPr>
          <w:rFonts w:ascii="Arial" w:hAnsi="Arial" w:cs="Arial"/>
          <w:sz w:val="20"/>
          <w:szCs w:val="20"/>
        </w:rPr>
        <w:t xml:space="preserve"> ЗК РФ и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гл. 3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ГрК</w:t>
      </w:r>
      <w:proofErr w:type="spellEnd"/>
      <w:r>
        <w:rPr>
          <w:rFonts w:ascii="Arial" w:hAnsi="Arial" w:cs="Arial"/>
          <w:sz w:val="20"/>
          <w:szCs w:val="20"/>
        </w:rPr>
        <w:t xml:space="preserve"> РФ.</w:t>
      </w:r>
    </w:p>
    <w:p w14:paraId="3AE73207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п. п. 2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4 ч. 1 ст. 18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ГрК</w:t>
      </w:r>
      <w:proofErr w:type="spellEnd"/>
      <w:r>
        <w:rPr>
          <w:rFonts w:ascii="Arial" w:hAnsi="Arial" w:cs="Arial"/>
          <w:sz w:val="20"/>
          <w:szCs w:val="20"/>
        </w:rPr>
        <w:t xml:space="preserve"> РФ документами территориального планирования муниципальных образований являются в том числе генеральные планы поселений, городских округов, муниципальных округов. В силу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ч. 6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7 ст. 23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ГрК</w:t>
      </w:r>
      <w:proofErr w:type="spellEnd"/>
      <w:r>
        <w:rPr>
          <w:rFonts w:ascii="Arial" w:hAnsi="Arial" w:cs="Arial"/>
          <w:sz w:val="20"/>
          <w:szCs w:val="20"/>
        </w:rPr>
        <w:t xml:space="preserve"> РФ к генеральному плану прилагаются материалы по его обоснованию в текстовой форме и в виде карт; материалы по обоснованию генерального плана в текстовой форме содержат в том числе перечень земельных участков, которые включаются в границы населенных пунктов, входящих в состав поселения, муниципального округа,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использования.</w:t>
      </w:r>
    </w:p>
    <w:p w14:paraId="52771208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Принятие решения о внесении изменений в генеральные планы поселений, генеральные планы муниципальных округов, генеральные планы городских округов отнесено к компетенции органов местного самоуправления (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ст. 24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ГрК</w:t>
      </w:r>
      <w:proofErr w:type="spellEnd"/>
      <w:r>
        <w:rPr>
          <w:rFonts w:ascii="Arial" w:hAnsi="Arial" w:cs="Arial"/>
          <w:sz w:val="20"/>
          <w:szCs w:val="20"/>
        </w:rPr>
        <w:t xml:space="preserve"> РФ).</w:t>
      </w:r>
    </w:p>
    <w:p w14:paraId="3CFB8E6E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Реализация документов территориального планирования осуществляется, помимо прочего, принятием в порядке, установленном законодательством РФ, решений о резервировании земель, об изъятии земельных участков для государственных или муниципальных нужд, о переводе земель или земельных участков из одной категории в другую (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п. 2 ч. 1 ст. 26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ГрК</w:t>
      </w:r>
      <w:proofErr w:type="spellEnd"/>
      <w:r>
        <w:rPr>
          <w:rFonts w:ascii="Arial" w:hAnsi="Arial" w:cs="Arial"/>
          <w:sz w:val="20"/>
          <w:szCs w:val="20"/>
        </w:rPr>
        <w:t xml:space="preserve"> РФ).</w:t>
      </w:r>
    </w:p>
    <w:p w14:paraId="1993DD6B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силу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п. п. 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8 ч. 1 ст. 32</w:t>
        </w:r>
      </w:hyperlink>
      <w:r>
        <w:rPr>
          <w:rFonts w:ascii="Arial" w:hAnsi="Arial" w:cs="Arial"/>
          <w:sz w:val="20"/>
          <w:szCs w:val="20"/>
        </w:rPr>
        <w:t xml:space="preserve"> Закона о регистрации недвижимости решения (акты) органов государственной власти и органов местного самоуправления об утверждении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а также об установлении или изменении границ населенного пункта, являются основанием для внесения сведений в ЕГРН.</w:t>
      </w:r>
    </w:p>
    <w:p w14:paraId="58A201F9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указанном случае кадастровая стоимость переводимого земельного участка в силу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ч. 2 ст. 7</w:t>
        </w:r>
      </w:hyperlink>
      <w:r>
        <w:rPr>
          <w:rFonts w:ascii="Arial" w:hAnsi="Arial" w:cs="Arial"/>
          <w:sz w:val="20"/>
          <w:szCs w:val="20"/>
        </w:rPr>
        <w:t xml:space="preserve"> Закона о переводе земель значения не имеет.</w:t>
      </w:r>
    </w:p>
    <w:p w14:paraId="5A329ED2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Соответствующие документы направляются в порядке, установленном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документов, направляемых или предоставляемых в соответствии с частями 1, 3 - 10, 12 - 13.3, 15 - 15.4 статьи 32 Федерального закона "О государственной регистрации недвижимости" в федеральный орган исполнительной власти (его территориальные органы), уполномоченный Правительством Российской </w:t>
      </w:r>
      <w:r>
        <w:rPr>
          <w:rFonts w:ascii="Arial" w:hAnsi="Arial" w:cs="Arial"/>
          <w:sz w:val="20"/>
          <w:szCs w:val="20"/>
        </w:rPr>
        <w:lastRenderedPageBreak/>
        <w:t>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утв. Постановлением Правительства РФ от 31.12.2015 N 1532.</w:t>
      </w:r>
    </w:p>
    <w:p w14:paraId="6303D7AC" w14:textId="77777777" w:rsidR="00983109" w:rsidRDefault="00983109" w:rsidP="0098310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Перевод </w:t>
      </w:r>
      <w:r>
        <w:rPr>
          <w:rFonts w:ascii="Arial" w:hAnsi="Arial" w:cs="Arial"/>
          <w:b/>
          <w:bCs/>
          <w:sz w:val="20"/>
          <w:szCs w:val="20"/>
        </w:rPr>
        <w:t>земель сельскохозяйственного назначения в целях осуществления индивидуального жилищного строительства</w:t>
      </w:r>
      <w:r>
        <w:rPr>
          <w:rFonts w:ascii="Arial" w:hAnsi="Arial" w:cs="Arial"/>
          <w:sz w:val="20"/>
          <w:szCs w:val="20"/>
        </w:rPr>
        <w:t xml:space="preserve"> осуществляется по основанию, предусмотренному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п. 3 ч. 1 ст. 7</w:t>
        </w:r>
      </w:hyperlink>
      <w:r>
        <w:rPr>
          <w:rFonts w:ascii="Arial" w:hAnsi="Arial" w:cs="Arial"/>
          <w:sz w:val="20"/>
          <w:szCs w:val="20"/>
        </w:rPr>
        <w:t xml:space="preserve"> Закона о переводе земель, - в связи с установлением или изменением черты населенных пунктов, с установлением вида разрешенного использования земельного участка "для индивидуального жилищного строительства".</w:t>
      </w:r>
    </w:p>
    <w:p w14:paraId="2575C537" w14:textId="77777777" w:rsidR="00983109" w:rsidRDefault="00983109" w:rsidP="009831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1B9FC1" w14:textId="77777777" w:rsidR="00983109" w:rsidRDefault="00983109" w:rsidP="009831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Подготовлено на основе материала</w:t>
      </w:r>
    </w:p>
    <w:p w14:paraId="68CC819B" w14:textId="77777777" w:rsidR="00983109" w:rsidRDefault="00983109" w:rsidP="009831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И.Э. Марьюшкина,</w:t>
      </w:r>
    </w:p>
    <w:p w14:paraId="089516FD" w14:textId="77777777" w:rsidR="00983109" w:rsidRDefault="00983109" w:rsidP="009831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ведущего специалиста 2 разряда отдела законодательства</w:t>
      </w:r>
    </w:p>
    <w:p w14:paraId="5A9FAF2A" w14:textId="77777777" w:rsidR="00983109" w:rsidRDefault="00983109" w:rsidP="0098310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сфере недвижимости Департамента недвижимости,</w:t>
      </w:r>
    </w:p>
    <w:p w14:paraId="678E25E0" w14:textId="77777777" w:rsidR="004B5EDF" w:rsidRDefault="004B5EDF"/>
    <w:sectPr w:rsidR="004B5EDF" w:rsidSect="00B3461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09"/>
    <w:rsid w:val="004B5EDF"/>
    <w:rsid w:val="009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9838"/>
  <w15:chartTrackingRefBased/>
  <w15:docId w15:val="{3CE72396-CB9D-48FC-833C-E473128F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BEF202FBBD769E29BCBDBC39D044BCCB7214A83501B085ACE79CC6D3DBC0969EF44C448F9FE5728AE0D8F881DFE8D3DDF9905382D5C48CoBM9G" TargetMode="External"/><Relationship Id="rId18" Type="http://schemas.openxmlformats.org/officeDocument/2006/relationships/hyperlink" Target="consultantplus://offline/ref=89BEF202FBBD769E29BCBDBC39D044BCCB7214A83501B085ACE79CC6D3DBC0969EF44C448F9FE47689E0D8F881DFE8D3DDF9905382D5C48CoBM9G" TargetMode="External"/><Relationship Id="rId26" Type="http://schemas.openxmlformats.org/officeDocument/2006/relationships/hyperlink" Target="consultantplus://offline/ref=89BEF202FBBD769E29BCB0AF2CD044BCC97518A5320DB085ACE79CC6D3DBC0968CF414488E98FA768AF58EA9C7o8MEG" TargetMode="External"/><Relationship Id="rId39" Type="http://schemas.openxmlformats.org/officeDocument/2006/relationships/hyperlink" Target="consultantplus://offline/ref=89BEF202FBBD769E29BCBDBC39D044BCCB7D10A43604B085ACE79CC6D3DBC0969EF44C448F9FE17788E0D8F881DFE8D3DDF9905382D5C48CoBM9G" TargetMode="External"/><Relationship Id="rId21" Type="http://schemas.openxmlformats.org/officeDocument/2006/relationships/hyperlink" Target="consultantplus://offline/ref=89BEF202FBBD769E29BCBDBC39D044BCCB7214A83501B085ACE79CC6D3DBC0969EF44C448F9FE4738CE0D8F881DFE8D3DDF9905382D5C48CoBM9G" TargetMode="External"/><Relationship Id="rId34" Type="http://schemas.openxmlformats.org/officeDocument/2006/relationships/hyperlink" Target="consultantplus://offline/ref=89BEF202FBBD769E29BCBDBC39D044BCCB7310A03603B085ACE79CC6D3DBC0969EF44C448F9EE27E8BE0D8F881DFE8D3DDF9905382D5C48CoBM9G" TargetMode="External"/><Relationship Id="rId42" Type="http://schemas.openxmlformats.org/officeDocument/2006/relationships/hyperlink" Target="consultantplus://offline/ref=89BEF202FBBD769E29BCBDBC39D044BCCB7214A83501B085ACE79CC6D3DBC0969EF44C448F9FE5718CE0D8F881DFE8D3DDF9905382D5C48CoBM9G" TargetMode="External"/><Relationship Id="rId7" Type="http://schemas.openxmlformats.org/officeDocument/2006/relationships/hyperlink" Target="consultantplus://offline/ref=89BEF202FBBD769E29BCBDBC39D044BCCB7D13A03301B085ACE79CC6D3DBC0969EF44C448F9FE4718DE0D8F881DFE8D3DDF9905382D5C48CoBM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BEF202FBBD769E29BCBDBC39D044BCCB7D13A03301B085ACE79CC6D3DBC0969EF44C478699EF23D9AFD9A4C48DFBD3D8F993519EoDM3G" TargetMode="External"/><Relationship Id="rId20" Type="http://schemas.openxmlformats.org/officeDocument/2006/relationships/hyperlink" Target="consultantplus://offline/ref=89BEF202FBBD769E29BCBDBC39D044BCCB7214A83501B085ACE79CC6D3DBC0969EF44C448F9FE4748DE0D8F881DFE8D3DDF9905382D5C48CoBM9G" TargetMode="External"/><Relationship Id="rId29" Type="http://schemas.openxmlformats.org/officeDocument/2006/relationships/hyperlink" Target="consultantplus://offline/ref=89BEF202FBBD769E29BCBDBC39D044BCCB7214A83501B085ACE79CC6D3DBC0969EF44C448F9FE5718CE0D8F881DFE8D3DDF9905382D5C48CoBM9G" TargetMode="External"/><Relationship Id="rId41" Type="http://schemas.openxmlformats.org/officeDocument/2006/relationships/hyperlink" Target="consultantplus://offline/ref=89BEF202FBBD769E29BCBDBC39D044BCCB7315A53507B085ACE79CC6D3DBC0969EF44C448F9FE47F8DE0D8F881DFE8D3DDF9905382D5C48CoBM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BEF202FBBD769E29BCBDBC39D044BCCB7214A83501B085ACE79CC6D3DBC0968CF414488E98FA768AF58EA9C7o8MEG" TargetMode="External"/><Relationship Id="rId11" Type="http://schemas.openxmlformats.org/officeDocument/2006/relationships/hyperlink" Target="consultantplus://offline/ref=89BEF202FBBD769E29BCBDBC39D044BCCB7D13A03301B085ACE79CC6D3DBC0969EF44C478699EF23D9AFD9A4C48DFBD3D8F993519EoDM3G" TargetMode="External"/><Relationship Id="rId24" Type="http://schemas.openxmlformats.org/officeDocument/2006/relationships/hyperlink" Target="consultantplus://offline/ref=89BEF202FBBD769E29BCBDBC39D044BCCB7214A83501B085ACE79CC6D3DBC0969EF44C448F9FE57289E0D8F881DFE8D3DDF9905382D5C48CoBM9G" TargetMode="External"/><Relationship Id="rId32" Type="http://schemas.openxmlformats.org/officeDocument/2006/relationships/hyperlink" Target="consultantplus://offline/ref=89BEF202FBBD769E29BCBDBC39D044BCCB7310A03603B085ACE79CC6D3DBC0969EF44C448F9FE6718BE0D8F881DFE8D3DDF9905382D5C48CoBM9G" TargetMode="External"/><Relationship Id="rId37" Type="http://schemas.openxmlformats.org/officeDocument/2006/relationships/hyperlink" Target="consultantplus://offline/ref=89BEF202FBBD769E29BCBDBC39D044BCCB7310A03603B085ACE79CC6D3DBC0969EF44C448D9DE07CDCBAC8FCC88BE2CCDBE58F539CD5oCM0G" TargetMode="External"/><Relationship Id="rId40" Type="http://schemas.openxmlformats.org/officeDocument/2006/relationships/hyperlink" Target="consultantplus://offline/ref=89BEF202FBBD769E29BCBDBC39D044BCCB7214A83501B085ACE79CC6D3DBC0969EF44C448F9FE5728EE0D8F881DFE8D3DDF9905382D5C48CoBM9G" TargetMode="External"/><Relationship Id="rId5" Type="http://schemas.openxmlformats.org/officeDocument/2006/relationships/hyperlink" Target="consultantplus://offline/ref=89BEF202FBBD769E29BCBDBC39D044BCCB7D13A03301B085ACE79CC6D3DBC0968CF414488E98FA768AF58EA9C7o8MEG" TargetMode="External"/><Relationship Id="rId15" Type="http://schemas.openxmlformats.org/officeDocument/2006/relationships/hyperlink" Target="consultantplus://offline/ref=89BEF202FBBD769E29BCBDBC39D044BCCB7214A83501B085ACE79CC6D3DBC0969EF44C448F9FE5728CE0D8F881DFE8D3DDF9905382D5C48CoBM9G" TargetMode="External"/><Relationship Id="rId23" Type="http://schemas.openxmlformats.org/officeDocument/2006/relationships/hyperlink" Target="consultantplus://offline/ref=89BEF202FBBD769E29BCBDBC39D044BCCB7D13A03301B085ACE79CC6D3DBC0969EF44C448F9FE3758FE0D8F881DFE8D3DDF9905382D5C48CoBM9G" TargetMode="External"/><Relationship Id="rId28" Type="http://schemas.openxmlformats.org/officeDocument/2006/relationships/hyperlink" Target="consultantplus://offline/ref=89BEF202FBBD769E29BCBCB22CD044BCCE7312A93500B085ACE79CC6D3DBC0968CF414488E98FA768AF58EA9C7o8MEG" TargetMode="External"/><Relationship Id="rId36" Type="http://schemas.openxmlformats.org/officeDocument/2006/relationships/hyperlink" Target="consultantplus://offline/ref=89BEF202FBBD769E29BCBDBC39D044BCCB7310A03603B085ACE79CC6D3DBC0969EF44C448F9FE77081E0D8F881DFE8D3DDF9905382D5C48CoBM9G" TargetMode="External"/><Relationship Id="rId10" Type="http://schemas.openxmlformats.org/officeDocument/2006/relationships/hyperlink" Target="consultantplus://offline/ref=89BEF202FBBD769E29BCBDBC39D044BCCB7214A83501B085ACE79CC6D3DBC0969EF44C448F9FE5728EE0D8F881DFE8D3DDF9905382D5C48CoBM9G" TargetMode="External"/><Relationship Id="rId19" Type="http://schemas.openxmlformats.org/officeDocument/2006/relationships/hyperlink" Target="consultantplus://offline/ref=89BEF202FBBD769E29BCBDBC39D044BCCB7214A83501B085ACE79CC6D3DBC0969EF44C448F9FE57E8BE0D8F881DFE8D3DDF9905382D5C48CoBM9G" TargetMode="External"/><Relationship Id="rId31" Type="http://schemas.openxmlformats.org/officeDocument/2006/relationships/hyperlink" Target="consultantplus://offline/ref=89BEF202FBBD769E29BCBDBC39D044BCCB7310A03603B085ACE79CC6D3DBC0969EF44C448F9FE47F81E0D8F881DFE8D3DDF9905382D5C48CoBM9G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89BEF202FBBD769E29BCBDBC39D044BCCB7214A83501B085ACE79CC6D3DBC0969EF44C448F9FE47781E0D8F881DFE8D3DDF9905382D5C48CoBM9G" TargetMode="External"/><Relationship Id="rId9" Type="http://schemas.openxmlformats.org/officeDocument/2006/relationships/hyperlink" Target="consultantplus://offline/ref=89BEF202FBBD769E29BCBDBC39D044BCCB7214A83501B085ACE79CC6D3DBC0969EF44C448F9FE47188E0D8F881DFE8D3DDF9905382D5C48CoBM9G" TargetMode="External"/><Relationship Id="rId14" Type="http://schemas.openxmlformats.org/officeDocument/2006/relationships/hyperlink" Target="consultantplus://offline/ref=89BEF202FBBD769E29BCBDBC39D044BCCB7214A83501B085ACE79CC6D3DBC0969EF44C448F9FE5728BE0D8F881DFE8D3DDF9905382D5C48CoBM9G" TargetMode="External"/><Relationship Id="rId22" Type="http://schemas.openxmlformats.org/officeDocument/2006/relationships/hyperlink" Target="consultantplus://offline/ref=89BEF202FBBD769E29BCBDBC39D044BCCB7214A83501B085ACE79CC6D3DBC0969EF44C448F9FE4738DE0D8F881DFE8D3DDF9905382D5C48CoBM9G" TargetMode="External"/><Relationship Id="rId27" Type="http://schemas.openxmlformats.org/officeDocument/2006/relationships/hyperlink" Target="consultantplus://offline/ref=89BEF202FBBD769E29BCBCB22CD044BCCE7317A43703B085ACE79CC6D3DBC0968CF414488E98FA768AF58EA9C7o8MEG" TargetMode="External"/><Relationship Id="rId30" Type="http://schemas.openxmlformats.org/officeDocument/2006/relationships/hyperlink" Target="consultantplus://offline/ref=89BEF202FBBD769E29BCBDBC39D044BCCB7D13A03301B085ACE79CC6D3DBC0969EF44C478C97E67CDCBAC8FCC88BE2CCDBE58F539CD5oCM0G" TargetMode="External"/><Relationship Id="rId35" Type="http://schemas.openxmlformats.org/officeDocument/2006/relationships/hyperlink" Target="consultantplus://offline/ref=89BEF202FBBD769E29BCBDBC39D044BCCB7310A03603B085ACE79CC6D3DBC0969EF44C448F9EE27E8CE0D8F881DFE8D3DDF9905382D5C48CoBM9G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89BEF202FBBD769E29BCBDBC39D044BCCB7214A83501B085ACE79CC6D3DBC0968CF414488E98FA768AF58EA9C7o8ME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9BEF202FBBD769E29BCBDBC39D044BCCB7214A83501B085ACE79CC6D3DBC0969EF44C448F9FE5718CE0D8F881DFE8D3DDF9905382D5C48CoBM9G" TargetMode="External"/><Relationship Id="rId17" Type="http://schemas.openxmlformats.org/officeDocument/2006/relationships/hyperlink" Target="consultantplus://offline/ref=89BEF202FBBD769E29BCBCB22CD044BCCB7514A03701B085ACE79CC6D3DBC0969EF44C448F9FE5718CE0D8F881DFE8D3DDF9905382D5C48CoBM9G" TargetMode="External"/><Relationship Id="rId25" Type="http://schemas.openxmlformats.org/officeDocument/2006/relationships/hyperlink" Target="consultantplus://offline/ref=89BEF202FBBD769E29BCBCB22CD044BCC97511A1340EED8FA4BE90C4D4D49F8199BD40458F9FE17F83BFDDED9087E4D5C4E6934F9ED7C6o8MAG" TargetMode="External"/><Relationship Id="rId33" Type="http://schemas.openxmlformats.org/officeDocument/2006/relationships/hyperlink" Target="consultantplus://offline/ref=89BEF202FBBD769E29BCBDBC39D044BCCB7310A03603B085ACE79CC6D3DBC0969EF44C418E97E67CDCBAC8FCC88BE2CCDBE58F539CD5oCM0G" TargetMode="External"/><Relationship Id="rId38" Type="http://schemas.openxmlformats.org/officeDocument/2006/relationships/hyperlink" Target="consultantplus://offline/ref=89BEF202FBBD769E29BCBDBC39D044BCCB7D10A43604B085ACE79CC6D3DBC0969EF44C448F9EE4748DE0D8F881DFE8D3DDF9905382D5C48CoBM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2717</Words>
  <Characters>15487</Characters>
  <Application>Microsoft Office Word</Application>
  <DocSecurity>0</DocSecurity>
  <Lines>129</Lines>
  <Paragraphs>36</Paragraphs>
  <ScaleCrop>false</ScaleCrop>
  <Company/>
  <LinksUpToDate>false</LinksUpToDate>
  <CharactersWithSpaces>18168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2024-12-17T06:12:00Z</dcterms:created>
  <dcterms:modified xsi:type="dcterms:W3CDTF">2024-12-17T06:13:00Z</dcterms:modified>
</cp:coreProperties>
</file>